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8B" w:rsidRDefault="00610B8B" w:rsidP="00150FFD">
      <w:pPr>
        <w:rPr>
          <w:b/>
          <w:sz w:val="20"/>
          <w:szCs w:val="20"/>
        </w:rPr>
      </w:pPr>
      <w:r>
        <w:rPr>
          <w:b/>
          <w:sz w:val="32"/>
          <w:szCs w:val="32"/>
        </w:rPr>
        <w:t>Nachtragsbegründung</w:t>
      </w:r>
      <w:r>
        <w:rPr>
          <w:b/>
          <w:sz w:val="32"/>
          <w:szCs w:val="32"/>
        </w:rPr>
        <w:br/>
      </w:r>
      <w:r>
        <w:rPr>
          <w:b/>
          <w:sz w:val="20"/>
          <w:szCs w:val="20"/>
        </w:rPr>
        <w:t>Ergänzung zu Formblatt 521</w:t>
      </w:r>
    </w:p>
    <w:p w:rsidR="00610B8B" w:rsidRDefault="00610B8B" w:rsidP="00150FFD">
      <w:pPr>
        <w:rPr>
          <w:b/>
          <w:sz w:val="20"/>
          <w:szCs w:val="20"/>
        </w:rPr>
      </w:pPr>
    </w:p>
    <w:p w:rsidR="00D047E6" w:rsidRDefault="00D047E6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p w:rsidR="006F6B18" w:rsidRDefault="006F6B18" w:rsidP="00D047E6">
      <w:pPr>
        <w:spacing w:after="0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10B8B" w:rsidTr="00610B8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10B8B" w:rsidRDefault="00610B8B" w:rsidP="00150F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Aufgestellt:</w:t>
            </w:r>
          </w:p>
        </w:tc>
      </w:tr>
      <w:tr w:rsidR="00610B8B" w:rsidTr="00610B8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10B8B" w:rsidRDefault="00610B8B" w:rsidP="00150FFD">
            <w:pPr>
              <w:rPr>
                <w:b/>
                <w:sz w:val="20"/>
                <w:szCs w:val="20"/>
              </w:rPr>
            </w:pPr>
          </w:p>
        </w:tc>
      </w:tr>
      <w:tr w:rsidR="00610B8B" w:rsidTr="00610B8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10B8B" w:rsidRDefault="00610B8B" w:rsidP="006F6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Ort, Datum</w:t>
            </w:r>
            <w:r w:rsidR="00D047E6">
              <w:rPr>
                <w:b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</w:tr>
      <w:tr w:rsidR="00610B8B" w:rsidTr="00610B8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10B8B" w:rsidRDefault="00610B8B" w:rsidP="00150FFD">
            <w:pPr>
              <w:rPr>
                <w:b/>
                <w:sz w:val="20"/>
                <w:szCs w:val="20"/>
              </w:rPr>
            </w:pPr>
          </w:p>
        </w:tc>
      </w:tr>
      <w:tr w:rsidR="00610B8B" w:rsidTr="00610B8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10B8B" w:rsidRDefault="00610B8B" w:rsidP="00150FFD">
            <w:pPr>
              <w:rPr>
                <w:b/>
                <w:sz w:val="20"/>
                <w:szCs w:val="20"/>
              </w:rPr>
            </w:pPr>
          </w:p>
          <w:p w:rsidR="00610B8B" w:rsidRDefault="00610B8B" w:rsidP="00150FFD">
            <w:pPr>
              <w:rPr>
                <w:b/>
                <w:sz w:val="20"/>
                <w:szCs w:val="20"/>
              </w:rPr>
            </w:pPr>
          </w:p>
        </w:tc>
      </w:tr>
      <w:tr w:rsidR="00610B8B" w:rsidTr="00610B8B"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8B" w:rsidRDefault="00610B8B" w:rsidP="00150FFD">
            <w:pPr>
              <w:rPr>
                <w:b/>
                <w:sz w:val="20"/>
                <w:szCs w:val="20"/>
              </w:rPr>
            </w:pPr>
          </w:p>
        </w:tc>
      </w:tr>
      <w:tr w:rsidR="00610B8B" w:rsidTr="00610B8B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B8B" w:rsidRDefault="00610B8B" w:rsidP="00150F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FBT / Staatliches Bauamt Schweinfurt</w:t>
            </w:r>
          </w:p>
        </w:tc>
      </w:tr>
    </w:tbl>
    <w:p w:rsidR="00610B8B" w:rsidRDefault="00610B8B" w:rsidP="00D047E6">
      <w:pPr>
        <w:rPr>
          <w:b/>
          <w:sz w:val="20"/>
          <w:szCs w:val="20"/>
        </w:rPr>
      </w:pPr>
    </w:p>
    <w:sectPr w:rsidR="00610B8B" w:rsidSect="00D047E6">
      <w:footerReference w:type="default" r:id="rId7"/>
      <w:pgSz w:w="11906" w:h="16838" w:code="9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E6" w:rsidRDefault="00D047E6" w:rsidP="00D047E6">
      <w:pPr>
        <w:spacing w:after="0" w:line="240" w:lineRule="auto"/>
      </w:pPr>
      <w:r>
        <w:separator/>
      </w:r>
    </w:p>
  </w:endnote>
  <w:endnote w:type="continuationSeparator" w:id="0">
    <w:p w:rsidR="00D047E6" w:rsidRDefault="00D047E6" w:rsidP="00D0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6" w:rsidRPr="00D047E6" w:rsidRDefault="00D047E6">
    <w:pPr>
      <w:pStyle w:val="Fuzeile"/>
      <w:rPr>
        <w:sz w:val="16"/>
        <w:szCs w:val="16"/>
      </w:rPr>
    </w:pPr>
    <w:r w:rsidRPr="00D047E6">
      <w:rPr>
        <w:sz w:val="16"/>
        <w:szCs w:val="16"/>
      </w:rPr>
      <w:t xml:space="preserve">Stand: </w:t>
    </w:r>
    <w:r w:rsidR="00A61120">
      <w:rPr>
        <w:sz w:val="16"/>
        <w:szCs w:val="16"/>
      </w:rPr>
      <w:t>27.01.2020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E6" w:rsidRDefault="00D047E6" w:rsidP="00D047E6">
      <w:pPr>
        <w:spacing w:after="0" w:line="240" w:lineRule="auto"/>
      </w:pPr>
      <w:r>
        <w:separator/>
      </w:r>
    </w:p>
  </w:footnote>
  <w:footnote w:type="continuationSeparator" w:id="0">
    <w:p w:rsidR="00D047E6" w:rsidRDefault="00D047E6" w:rsidP="00D0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8B"/>
    <w:rsid w:val="00150FFD"/>
    <w:rsid w:val="00307EA2"/>
    <w:rsid w:val="00610B8B"/>
    <w:rsid w:val="006F6B18"/>
    <w:rsid w:val="00A61120"/>
    <w:rsid w:val="00D047E6"/>
    <w:rsid w:val="00D53BBE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97A1"/>
  <w15:chartTrackingRefBased/>
  <w15:docId w15:val="{C0C9A50E-06D4-4510-9E77-AED39B04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Next/>
      <w:keepLines/>
      <w:numPr>
        <w:numId w:val="4"/>
      </w:numPr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Next/>
      <w:keepLines/>
      <w:numPr>
        <w:ilvl w:val="1"/>
        <w:numId w:val="4"/>
      </w:numPr>
      <w:spacing w:before="360" w:after="240" w:line="240" w:lineRule="auto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Next/>
      <w:keepLines/>
      <w:numPr>
        <w:ilvl w:val="2"/>
        <w:numId w:val="4"/>
      </w:numPr>
      <w:spacing w:before="360" w:after="240" w:line="240" w:lineRule="auto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Next/>
      <w:keepLines/>
      <w:numPr>
        <w:ilvl w:val="3"/>
        <w:numId w:val="4"/>
      </w:numPr>
      <w:spacing w:before="360" w:after="240" w:line="240" w:lineRule="auto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Next/>
      <w:keepLines/>
      <w:numPr>
        <w:ilvl w:val="4"/>
        <w:numId w:val="4"/>
      </w:numPr>
      <w:spacing w:before="360" w:after="240" w:line="240" w:lineRule="auto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table" w:styleId="Tabellenraster">
    <w:name w:val="Table Grid"/>
    <w:basedOn w:val="NormaleTabelle"/>
    <w:uiPriority w:val="39"/>
    <w:rsid w:val="0061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7E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7E6"/>
  </w:style>
  <w:style w:type="paragraph" w:styleId="Fuzeile">
    <w:name w:val="footer"/>
    <w:basedOn w:val="Standard"/>
    <w:link w:val="FuzeileZchn"/>
    <w:uiPriority w:val="99"/>
    <w:unhideWhenUsed/>
    <w:rsid w:val="00D0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Dorsch, Gabriele (StBA Schweinfurt)</dc:creator>
  <cp:keywords/>
  <dc:description/>
  <cp:lastModifiedBy>Knapp, Stefanie (StBA Schweinfurt)</cp:lastModifiedBy>
  <cp:revision>3</cp:revision>
  <cp:lastPrinted>2019-11-18T15:21:00Z</cp:lastPrinted>
  <dcterms:created xsi:type="dcterms:W3CDTF">2019-11-18T15:05:00Z</dcterms:created>
  <dcterms:modified xsi:type="dcterms:W3CDTF">2020-01-30T09:34:00Z</dcterms:modified>
</cp:coreProperties>
</file>